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w:t>
      </w:r>
      <w:r>
        <w:rPr>
          <w:rFonts w:ascii="Times New Roman" w:eastAsia="Times New Roman" w:hAnsi="Times New Roman" w:cs="Times New Roman"/>
          <w:bCs/>
          <w:sz w:val="28"/>
          <w:szCs w:val="28"/>
        </w:rPr>
        <w:t xml:space="preserve">сельского поселения </w:t>
      </w:r>
      <w:proofErr w:type="spellStart"/>
      <w:r w:rsidR="00C2697A">
        <w:rPr>
          <w:rFonts w:ascii="Times New Roman" w:eastAsia="Times New Roman" w:hAnsi="Times New Roman" w:cs="Times New Roman"/>
          <w:bCs/>
          <w:sz w:val="28"/>
          <w:szCs w:val="28"/>
        </w:rPr>
        <w:t>Воядинский</w:t>
      </w:r>
      <w:proofErr w:type="spellEnd"/>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w:t>
      </w:r>
      <w:smartTag w:uri="urn:schemas-microsoft-com:office:smarttags" w:element="date">
        <w:smartTagPr>
          <w:attr w:name="ls" w:val="trans"/>
          <w:attr w:name="Month" w:val="10"/>
          <w:attr w:name="Day" w:val="6"/>
          <w:attr w:name="Year" w:val="2003"/>
        </w:smartTagPr>
        <w:r w:rsidRPr="00A63135">
          <w:rPr>
            <w:rFonts w:ascii="Times New Roman" w:eastAsia="Arial Unicode MS" w:hAnsi="Times New Roman" w:cs="Times New Roman"/>
            <w:sz w:val="28"/>
            <w:szCs w:val="28"/>
          </w:rPr>
          <w:t>6 октября 2003 года</w:t>
        </w:r>
      </w:smartTag>
      <w:r w:rsidRPr="00A63135">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proofErr w:type="spellStart"/>
      <w:r w:rsidR="00C2697A">
        <w:rPr>
          <w:rFonts w:ascii="Times New Roman" w:eastAsia="Times New Roman" w:hAnsi="Times New Roman" w:cs="Times New Roman"/>
          <w:bCs/>
          <w:sz w:val="28"/>
          <w:szCs w:val="28"/>
        </w:rPr>
        <w:t>Воядинский</w:t>
      </w:r>
      <w:proofErr w:type="spellEnd"/>
      <w:r w:rsidR="00BC48B5"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proofErr w:type="spellStart"/>
      <w:r w:rsidR="00C2697A">
        <w:rPr>
          <w:rFonts w:ascii="Times New Roman" w:eastAsia="Times New Roman" w:hAnsi="Times New Roman" w:cs="Times New Roman"/>
          <w:bCs/>
          <w:sz w:val="28"/>
          <w:szCs w:val="28"/>
        </w:rPr>
        <w:t>Воядинский</w:t>
      </w:r>
      <w:proofErr w:type="spellEnd"/>
      <w:r w:rsidR="00095D5C">
        <w:rPr>
          <w:rFonts w:ascii="Times New Roman" w:eastAsia="Arial Unicode MS" w:hAnsi="Times New Roman" w:cs="Times New Roman"/>
          <w:sz w:val="28"/>
          <w:szCs w:val="28"/>
        </w:rPr>
        <w:t xml:space="preserve"> 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proofErr w:type="spellStart"/>
      <w:r w:rsidR="00C2697A">
        <w:rPr>
          <w:rFonts w:ascii="Times New Roman" w:eastAsia="Times New Roman" w:hAnsi="Times New Roman" w:cs="Times New Roman"/>
          <w:bCs/>
          <w:sz w:val="28"/>
          <w:szCs w:val="28"/>
        </w:rPr>
        <w:t>Воядинский</w:t>
      </w:r>
      <w:proofErr w:type="spellEnd"/>
      <w:r w:rsidR="00BC48B5">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r w:rsidR="00C2697A">
        <w:rPr>
          <w:rFonts w:ascii="Times New Roman" w:eastAsia="Times New Roman" w:hAnsi="Times New Roman" w:cs="Times New Roman"/>
          <w:bCs/>
          <w:sz w:val="28"/>
          <w:szCs w:val="28"/>
        </w:rPr>
        <w:t>Воядинский</w:t>
      </w:r>
      <w:bookmarkStart w:id="0" w:name="_GoBack"/>
      <w:bookmarkEnd w:id="0"/>
      <w:r w:rsidR="00BC48B5" w:rsidRPr="00465C0E">
        <w:rPr>
          <w:rFonts w:ascii="Times New Roman" w:hAnsi="Times New Roman" w:cs="Times New Roman"/>
          <w:sz w:val="28"/>
          <w:szCs w:val="28"/>
        </w:rPr>
        <w:t xml:space="preserve"> </w:t>
      </w:r>
      <w:r w:rsidR="00C674DD" w:rsidRPr="00465C0E">
        <w:rPr>
          <w:rFonts w:ascii="Times New Roman" w:hAnsi="Times New Roman" w:cs="Times New Roman"/>
          <w:sz w:val="28"/>
          <w:szCs w:val="28"/>
        </w:rPr>
        <w:t>сельсовет муниципального района Янаульский район Республики Башкортостан</w:t>
      </w:r>
    </w:p>
    <w:p w:rsidR="005032B7" w:rsidRPr="005032B7" w:rsidRDefault="005032B7" w:rsidP="00DF054B">
      <w:pP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74DD"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5130F"/>
    <w:rsid w:val="00095D5C"/>
    <w:rsid w:val="000C170D"/>
    <w:rsid w:val="000C1A4E"/>
    <w:rsid w:val="000C1B28"/>
    <w:rsid w:val="000C27F7"/>
    <w:rsid w:val="000C3784"/>
    <w:rsid w:val="000D7632"/>
    <w:rsid w:val="000E4363"/>
    <w:rsid w:val="000F3353"/>
    <w:rsid w:val="000F6AB2"/>
    <w:rsid w:val="00123DF8"/>
    <w:rsid w:val="00155A47"/>
    <w:rsid w:val="001C5C2A"/>
    <w:rsid w:val="001F7AD2"/>
    <w:rsid w:val="002346BF"/>
    <w:rsid w:val="002D062D"/>
    <w:rsid w:val="002E1315"/>
    <w:rsid w:val="002F778A"/>
    <w:rsid w:val="003255AC"/>
    <w:rsid w:val="003866D4"/>
    <w:rsid w:val="003950F8"/>
    <w:rsid w:val="003A6729"/>
    <w:rsid w:val="003C3F3D"/>
    <w:rsid w:val="003C69BD"/>
    <w:rsid w:val="0041007B"/>
    <w:rsid w:val="004150DF"/>
    <w:rsid w:val="004307A9"/>
    <w:rsid w:val="0044223E"/>
    <w:rsid w:val="004553B9"/>
    <w:rsid w:val="004609EB"/>
    <w:rsid w:val="00462597"/>
    <w:rsid w:val="0046503F"/>
    <w:rsid w:val="00465C0E"/>
    <w:rsid w:val="004913BE"/>
    <w:rsid w:val="005032B7"/>
    <w:rsid w:val="005E0C88"/>
    <w:rsid w:val="005F4C9B"/>
    <w:rsid w:val="00601251"/>
    <w:rsid w:val="00607368"/>
    <w:rsid w:val="00621582"/>
    <w:rsid w:val="006251D0"/>
    <w:rsid w:val="007B4A0A"/>
    <w:rsid w:val="007B4D98"/>
    <w:rsid w:val="007B7A49"/>
    <w:rsid w:val="007C468D"/>
    <w:rsid w:val="00884C5D"/>
    <w:rsid w:val="008A5C79"/>
    <w:rsid w:val="009166B6"/>
    <w:rsid w:val="009427B1"/>
    <w:rsid w:val="009435E2"/>
    <w:rsid w:val="009B43D0"/>
    <w:rsid w:val="009E1292"/>
    <w:rsid w:val="00A111B4"/>
    <w:rsid w:val="00A67C8A"/>
    <w:rsid w:val="00AA464C"/>
    <w:rsid w:val="00B53419"/>
    <w:rsid w:val="00B74705"/>
    <w:rsid w:val="00B83241"/>
    <w:rsid w:val="00BA0146"/>
    <w:rsid w:val="00BC48B5"/>
    <w:rsid w:val="00BD0D8C"/>
    <w:rsid w:val="00BD74D4"/>
    <w:rsid w:val="00BD7D42"/>
    <w:rsid w:val="00C14020"/>
    <w:rsid w:val="00C2697A"/>
    <w:rsid w:val="00C44C17"/>
    <w:rsid w:val="00C50B75"/>
    <w:rsid w:val="00C610BA"/>
    <w:rsid w:val="00C674DD"/>
    <w:rsid w:val="00C726CA"/>
    <w:rsid w:val="00C86A37"/>
    <w:rsid w:val="00CD531C"/>
    <w:rsid w:val="00D4057F"/>
    <w:rsid w:val="00DA35B5"/>
    <w:rsid w:val="00DC1EDB"/>
    <w:rsid w:val="00DF054B"/>
    <w:rsid w:val="00E0620A"/>
    <w:rsid w:val="00E2066D"/>
    <w:rsid w:val="00E66E57"/>
    <w:rsid w:val="00EE06EE"/>
    <w:rsid w:val="00F359E7"/>
    <w:rsid w:val="00F67F5C"/>
    <w:rsid w:val="00F75E58"/>
    <w:rsid w:val="00F77795"/>
    <w:rsid w:val="00F83FEF"/>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A3FB4-D0D5-480A-A40F-F33E28DA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82250</Words>
  <Characters>468828</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3</cp:revision>
  <dcterms:created xsi:type="dcterms:W3CDTF">2015-07-27T12:23:00Z</dcterms:created>
  <dcterms:modified xsi:type="dcterms:W3CDTF">2015-07-27T12:24:00Z</dcterms:modified>
</cp:coreProperties>
</file>